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color w:val="000000"/>
          <w:kern w:val="0"/>
          <w:sz w:val="32"/>
          <w:szCs w:val="32"/>
          <w:lang w:eastAsia="zh-CN" w:bidi="ar"/>
        </w:rPr>
      </w:pPr>
      <w:bookmarkStart w:id="0" w:name="_GoBack"/>
      <w:bookmarkEnd w:id="0"/>
      <w:r>
        <w:rPr>
          <w:rFonts w:hint="eastAsia" w:ascii="黑体" w:hAnsi="黑体" w:eastAsia="黑体" w:cs="黑体"/>
          <w:color w:val="000000"/>
          <w:kern w:val="0"/>
          <w:sz w:val="32"/>
          <w:szCs w:val="32"/>
          <w:lang w:eastAsia="zh-CN" w:bidi="ar"/>
        </w:rPr>
        <w:t>附件</w:t>
      </w:r>
    </w:p>
    <w:p>
      <w:pPr>
        <w:widowControl/>
        <w:spacing w:after="161" w:afterLines="50"/>
        <w:jc w:val="center"/>
        <w:rPr>
          <w:rFonts w:hint="eastAsia" w:eastAsia="宋体"/>
          <w:lang w:eastAsia="zh-CN"/>
        </w:rPr>
      </w:pPr>
      <w:r>
        <w:rPr>
          <w:rFonts w:hint="eastAsia" w:ascii="宋体" w:hAnsi="宋体" w:eastAsia="宋体" w:cs="宋体"/>
          <w:b/>
          <w:bCs/>
          <w:sz w:val="36"/>
          <w:szCs w:val="36"/>
        </w:rPr>
        <w:t>城市运行管理服务平台标准体系</w:t>
      </w:r>
      <w:r>
        <w:rPr>
          <w:rFonts w:hint="eastAsia" w:ascii="宋体" w:hAnsi="宋体" w:eastAsia="宋体" w:cs="宋体"/>
          <w:b/>
          <w:bCs/>
          <w:sz w:val="36"/>
          <w:szCs w:val="36"/>
          <w:lang w:eastAsia="zh-CN"/>
        </w:rPr>
        <w:t>构成</w:t>
      </w:r>
    </w:p>
    <w:tbl>
      <w:tblPr>
        <w:tblStyle w:val="11"/>
        <w:tblW w:w="13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40"/>
        <w:gridCol w:w="663"/>
        <w:gridCol w:w="2565"/>
        <w:gridCol w:w="7185"/>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1134" w:type="dxa"/>
            <w:shd w:val="clear" w:color="auto" w:fill="auto"/>
            <w:vAlign w:val="center"/>
          </w:tcPr>
          <w:p>
            <w:pPr>
              <w:widowControl/>
              <w:wordWrap w:val="0"/>
              <w:jc w:val="center"/>
              <w:textAlignment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kern w:val="0"/>
                <w:sz w:val="22"/>
                <w:szCs w:val="22"/>
                <w:lang w:bidi="ar"/>
              </w:rPr>
              <w:t>一级</w:t>
            </w:r>
          </w:p>
        </w:tc>
        <w:tc>
          <w:tcPr>
            <w:tcW w:w="940" w:type="dxa"/>
            <w:shd w:val="clear" w:color="auto" w:fill="auto"/>
            <w:vAlign w:val="center"/>
          </w:tcPr>
          <w:p>
            <w:pPr>
              <w:widowControl/>
              <w:wordWrap w:val="0"/>
              <w:jc w:val="center"/>
              <w:textAlignment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kern w:val="0"/>
                <w:sz w:val="22"/>
                <w:szCs w:val="22"/>
                <w:lang w:bidi="ar"/>
              </w:rPr>
              <w:t>二级</w:t>
            </w:r>
          </w:p>
        </w:tc>
        <w:tc>
          <w:tcPr>
            <w:tcW w:w="663" w:type="dxa"/>
            <w:shd w:val="clear" w:color="auto" w:fill="auto"/>
            <w:vAlign w:val="center"/>
          </w:tcPr>
          <w:p>
            <w:pPr>
              <w:widowControl/>
              <w:wordWrap w:val="0"/>
              <w:jc w:val="center"/>
              <w:textAlignment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kern w:val="0"/>
                <w:sz w:val="22"/>
                <w:szCs w:val="22"/>
                <w:lang w:bidi="ar"/>
              </w:rPr>
              <w:t>序号</w:t>
            </w:r>
          </w:p>
        </w:tc>
        <w:tc>
          <w:tcPr>
            <w:tcW w:w="2565" w:type="dxa"/>
            <w:shd w:val="clear" w:color="auto" w:fill="auto"/>
            <w:vAlign w:val="center"/>
          </w:tcPr>
          <w:p>
            <w:pPr>
              <w:widowControl/>
              <w:wordWrap w:val="0"/>
              <w:jc w:val="center"/>
              <w:textAlignment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kern w:val="0"/>
                <w:sz w:val="22"/>
                <w:szCs w:val="22"/>
                <w:lang w:bidi="ar"/>
              </w:rPr>
              <w:t>标准名称</w:t>
            </w:r>
          </w:p>
        </w:tc>
        <w:tc>
          <w:tcPr>
            <w:tcW w:w="7185" w:type="dxa"/>
            <w:shd w:val="clear" w:color="auto" w:fill="auto"/>
            <w:vAlign w:val="center"/>
          </w:tcPr>
          <w:p>
            <w:pPr>
              <w:widowControl/>
              <w:wordWrap w:val="0"/>
              <w:jc w:val="center"/>
              <w:textAlignment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kern w:val="0"/>
                <w:sz w:val="22"/>
                <w:szCs w:val="22"/>
                <w:lang w:bidi="ar"/>
              </w:rPr>
              <w:t>主要技术内容</w:t>
            </w:r>
          </w:p>
        </w:tc>
        <w:tc>
          <w:tcPr>
            <w:tcW w:w="1122" w:type="dxa"/>
            <w:shd w:val="clear" w:color="auto" w:fill="auto"/>
            <w:vAlign w:val="center"/>
          </w:tcPr>
          <w:p>
            <w:pPr>
              <w:widowControl/>
              <w:wordWrap w:val="0"/>
              <w:jc w:val="center"/>
              <w:textAlignment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kern w:val="0"/>
                <w:sz w:val="22"/>
                <w:szCs w:val="22"/>
                <w:lang w:bidi="ar"/>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基础通用</w:t>
            </w:r>
          </w:p>
        </w:tc>
        <w:tc>
          <w:tcPr>
            <w:tcW w:w="940"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术语</w:t>
            </w: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第11部分 术语和符号</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本标准将定义城市运行管理服务相关的术语，以及规定相应的图形符号要求。</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通用</w:t>
            </w: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第9部分 总体技术要求</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本标准在《数字化城市管理信息系统 第 9 部分：通用要求》(</w:t>
            </w:r>
            <w:r>
              <w:rPr>
                <w:rFonts w:hint="eastAsia" w:ascii="仿宋" w:hAnsi="仿宋" w:eastAsia="仿宋" w:cs="仿宋"/>
                <w:color w:val="000000"/>
                <w:kern w:val="0"/>
                <w:sz w:val="18"/>
                <w:szCs w:val="18"/>
                <w:lang w:val="en-US" w:eastAsia="zh-CN" w:bidi="ar"/>
              </w:rPr>
              <w:t>国标</w:t>
            </w:r>
            <w:r>
              <w:rPr>
                <w:rFonts w:hint="eastAsia" w:ascii="仿宋" w:hAnsi="仿宋" w:eastAsia="仿宋" w:cs="仿宋"/>
                <w:color w:val="000000"/>
                <w:kern w:val="0"/>
                <w:sz w:val="18"/>
                <w:szCs w:val="18"/>
                <w:lang w:bidi="ar"/>
              </w:rPr>
              <w:t>报批稿)基础上，明确运行管理服务平台的定位目标、建设原则、业务范围等要求，以及系统架构设计、功能要求、性能要求、数据要求、平台运行环境、安全要求等内容。</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3</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第3部分 地理编码</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本标准在《数字化城市管理信息系统 第3部分 地理编码》GB/T 30428.3-2016基础上，修订完善基本地点数量，明确地理编码的一般要求、基本地点数据内容、地理编码规则等要求。</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eastAsia="zh-CN" w:bidi="ar"/>
              </w:rPr>
              <w:t>待</w:t>
            </w:r>
            <w:r>
              <w:rPr>
                <w:rFonts w:hint="eastAsia" w:ascii="仿宋" w:hAnsi="仿宋" w:eastAsia="仿宋" w:cs="仿宋"/>
                <w:color w:val="000000"/>
                <w:kern w:val="0"/>
                <w:sz w:val="18"/>
                <w:szCs w:val="18"/>
                <w:lang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4</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第1部分 网格</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本标准在《数字化城市管理信息系统 第1部分 单元网格》GB/T 30428.1-2013基础上，修订完善有关单元网格、责任网格、评价网格等有关规定，统筹社会治理网格等相关网格的关系，并明确相应网格的划分规则、数据要求和图示表达等要求。</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eastAsia="zh-CN" w:bidi="ar"/>
              </w:rPr>
              <w:t>待</w:t>
            </w:r>
            <w:r>
              <w:rPr>
                <w:rFonts w:hint="eastAsia" w:ascii="仿宋" w:hAnsi="仿宋" w:eastAsia="仿宋" w:cs="仿宋"/>
                <w:color w:val="000000"/>
                <w:kern w:val="0"/>
                <w:sz w:val="18"/>
                <w:szCs w:val="18"/>
                <w:lang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5</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第2部分 部件</w:t>
            </w:r>
            <w:r>
              <w:rPr>
                <w:rFonts w:hint="eastAsia" w:ascii="仿宋" w:hAnsi="仿宋" w:eastAsia="仿宋" w:cs="仿宋"/>
                <w:color w:val="000000"/>
                <w:kern w:val="0"/>
                <w:sz w:val="18"/>
                <w:szCs w:val="18"/>
                <w:lang w:eastAsia="zh-Hans" w:bidi="ar"/>
              </w:rPr>
              <w:t>和事件</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本标准在《数字化城市管理信息系统 第2部分 管理部件和事件》GB/T30428.2-2013 基础上，补充完善城市管理部件</w:t>
            </w:r>
            <w:r>
              <w:rPr>
                <w:rFonts w:hint="eastAsia" w:ascii="仿宋" w:hAnsi="仿宋" w:eastAsia="仿宋" w:cs="仿宋"/>
                <w:color w:val="000000"/>
                <w:kern w:val="0"/>
                <w:sz w:val="18"/>
                <w:szCs w:val="18"/>
                <w:lang w:eastAsia="zh-Hans" w:bidi="ar"/>
              </w:rPr>
              <w:t>和事件</w:t>
            </w:r>
            <w:r>
              <w:rPr>
                <w:rFonts w:hint="eastAsia" w:ascii="仿宋" w:hAnsi="仿宋" w:eastAsia="仿宋" w:cs="仿宋"/>
                <w:color w:val="000000"/>
                <w:kern w:val="0"/>
                <w:sz w:val="18"/>
                <w:szCs w:val="18"/>
                <w:lang w:bidi="ar"/>
              </w:rPr>
              <w:t>类型，补充完善有关部件</w:t>
            </w:r>
            <w:r>
              <w:rPr>
                <w:rFonts w:hint="eastAsia" w:ascii="仿宋" w:hAnsi="仿宋" w:eastAsia="仿宋" w:cs="仿宋"/>
                <w:color w:val="000000"/>
                <w:kern w:val="0"/>
                <w:sz w:val="18"/>
                <w:szCs w:val="18"/>
                <w:lang w:eastAsia="zh-Hans" w:bidi="ar"/>
              </w:rPr>
              <w:t>和事件</w:t>
            </w:r>
            <w:r>
              <w:rPr>
                <w:rFonts w:hint="eastAsia" w:ascii="仿宋" w:hAnsi="仿宋" w:eastAsia="仿宋" w:cs="仿宋"/>
                <w:color w:val="000000"/>
                <w:kern w:val="0"/>
                <w:sz w:val="18"/>
                <w:szCs w:val="18"/>
                <w:lang w:bidi="ar"/>
              </w:rPr>
              <w:t>规定，明确相应部件</w:t>
            </w:r>
            <w:r>
              <w:rPr>
                <w:rFonts w:hint="eastAsia" w:ascii="仿宋" w:hAnsi="仿宋" w:eastAsia="仿宋" w:cs="仿宋"/>
                <w:color w:val="000000"/>
                <w:kern w:val="0"/>
                <w:sz w:val="18"/>
                <w:szCs w:val="18"/>
                <w:lang w:eastAsia="zh-Hans" w:bidi="ar"/>
              </w:rPr>
              <w:t>和事件</w:t>
            </w:r>
            <w:r>
              <w:rPr>
                <w:rFonts w:hint="eastAsia" w:ascii="仿宋" w:hAnsi="仿宋" w:eastAsia="仿宋" w:cs="仿宋"/>
                <w:color w:val="000000"/>
                <w:kern w:val="0"/>
                <w:sz w:val="18"/>
                <w:szCs w:val="18"/>
                <w:lang w:bidi="ar"/>
              </w:rPr>
              <w:t>分类、编码及数据要求等。</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eastAsia="zh-CN" w:bidi="ar"/>
              </w:rPr>
              <w:t>待</w:t>
            </w:r>
            <w:r>
              <w:rPr>
                <w:rFonts w:hint="eastAsia" w:ascii="仿宋" w:hAnsi="仿宋" w:eastAsia="仿宋" w:cs="仿宋"/>
                <w:color w:val="000000"/>
                <w:kern w:val="0"/>
                <w:sz w:val="18"/>
                <w:szCs w:val="18"/>
                <w:lang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w:t>
            </w:r>
          </w:p>
        </w:tc>
        <w:tc>
          <w:tcPr>
            <w:tcW w:w="2565" w:type="dxa"/>
            <w:shd w:val="clear" w:color="auto" w:fill="auto"/>
            <w:vAlign w:val="center"/>
          </w:tcPr>
          <w:p>
            <w:pPr>
              <w:widowControl/>
              <w:wordWrap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城市运行管理服务平台 第5部分 </w:t>
            </w:r>
            <w:r>
              <w:rPr>
                <w:rFonts w:hint="eastAsia" w:ascii="仿宋" w:hAnsi="仿宋" w:eastAsia="仿宋" w:cs="仿宋"/>
                <w:color w:val="000000"/>
                <w:kern w:val="0"/>
                <w:sz w:val="18"/>
                <w:szCs w:val="18"/>
                <w:lang w:eastAsia="zh-Hans" w:bidi="ar"/>
              </w:rPr>
              <w:t>信息采集</w:t>
            </w:r>
          </w:p>
        </w:tc>
        <w:tc>
          <w:tcPr>
            <w:tcW w:w="7185" w:type="dxa"/>
            <w:shd w:val="clear" w:color="auto" w:fill="auto"/>
            <w:vAlign w:val="center"/>
          </w:tcPr>
          <w:p>
            <w:pPr>
              <w:widowControl/>
              <w:wordWrap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本标准在《数字化城市管理信息系统</w:t>
            </w:r>
            <w:r>
              <w:rPr>
                <w:rFonts w:ascii="仿宋" w:hAnsi="仿宋" w:eastAsia="仿宋" w:cs="仿宋"/>
                <w:color w:val="000000"/>
                <w:kern w:val="0"/>
                <w:sz w:val="18"/>
                <w:szCs w:val="18"/>
                <w:lang w:bidi="ar"/>
              </w:rPr>
              <w:t xml:space="preserve"> </w:t>
            </w:r>
            <w:r>
              <w:rPr>
                <w:rFonts w:hint="eastAsia" w:ascii="仿宋" w:hAnsi="仿宋" w:eastAsia="仿宋" w:cs="仿宋"/>
                <w:color w:val="000000"/>
                <w:kern w:val="0"/>
                <w:sz w:val="18"/>
                <w:szCs w:val="18"/>
                <w:lang w:bidi="ar"/>
              </w:rPr>
              <w:t>第</w:t>
            </w:r>
            <w:r>
              <w:rPr>
                <w:rFonts w:ascii="仿宋" w:hAnsi="仿宋" w:eastAsia="仿宋" w:cs="仿宋"/>
                <w:color w:val="000000"/>
                <w:kern w:val="0"/>
                <w:sz w:val="18"/>
                <w:szCs w:val="18"/>
                <w:lang w:bidi="ar"/>
              </w:rPr>
              <w:t xml:space="preserve">5部分：监管信息采集设备》GB/T30428.5-2017、《数字化城市管理信息系统 </w:t>
            </w:r>
            <w:r>
              <w:rPr>
                <w:rFonts w:hint="eastAsia" w:ascii="仿宋" w:hAnsi="仿宋" w:eastAsia="仿宋" w:cs="仿宋"/>
                <w:color w:val="000000"/>
                <w:kern w:val="0"/>
                <w:sz w:val="18"/>
                <w:szCs w:val="18"/>
                <w:lang w:bidi="ar"/>
              </w:rPr>
              <w:t>第</w:t>
            </w:r>
            <w:r>
              <w:rPr>
                <w:rFonts w:ascii="仿宋" w:hAnsi="仿宋" w:eastAsia="仿宋" w:cs="仿宋"/>
                <w:color w:val="000000"/>
                <w:kern w:val="0"/>
                <w:sz w:val="18"/>
                <w:szCs w:val="18"/>
                <w:lang w:bidi="ar"/>
              </w:rPr>
              <w:t>7部分：监管信息采集》GB/T30428.7-2017基础上，</w:t>
            </w:r>
            <w:r>
              <w:rPr>
                <w:rFonts w:hint="eastAsia" w:ascii="仿宋" w:hAnsi="仿宋" w:eastAsia="仿宋" w:cs="仿宋"/>
                <w:color w:val="000000"/>
                <w:kern w:val="0"/>
                <w:sz w:val="18"/>
                <w:szCs w:val="18"/>
                <w:lang w:bidi="ar"/>
              </w:rPr>
              <w:t>明确城市运行管理服务平台信息采集的一般规定、流程和要求，包括综合执法、运行监测、综合管理、公众服务信息采集等。</w:t>
            </w:r>
          </w:p>
        </w:tc>
        <w:tc>
          <w:tcPr>
            <w:tcW w:w="1122" w:type="dxa"/>
            <w:shd w:val="clear" w:color="auto" w:fill="auto"/>
            <w:vAlign w:val="center"/>
          </w:tcPr>
          <w:p>
            <w:pPr>
              <w:widowControl/>
              <w:wordWrap w:val="0"/>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eastAsia="zh-CN" w:bidi="ar"/>
              </w:rPr>
              <w:t>待</w:t>
            </w:r>
            <w:r>
              <w:rPr>
                <w:rFonts w:hint="eastAsia" w:ascii="仿宋" w:hAnsi="仿宋" w:eastAsia="仿宋" w:cs="仿宋"/>
                <w:color w:val="000000"/>
                <w:kern w:val="0"/>
                <w:sz w:val="18"/>
                <w:szCs w:val="18"/>
                <w:lang w:eastAsia="zh-Hans"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数据</w:t>
            </w: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7</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第12部分 数据要求</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w:t>
            </w:r>
            <w:r>
              <w:rPr>
                <w:rFonts w:hint="eastAsia" w:ascii="仿宋" w:hAnsi="仿宋" w:eastAsia="仿宋" w:cs="仿宋"/>
                <w:color w:val="000000"/>
                <w:kern w:val="0"/>
                <w:sz w:val="18"/>
                <w:szCs w:val="18"/>
                <w:lang w:val="en-US" w:eastAsia="zh-CN" w:bidi="ar"/>
              </w:rPr>
              <w:t>将</w:t>
            </w:r>
            <w:r>
              <w:rPr>
                <w:rFonts w:hint="eastAsia" w:ascii="仿宋" w:hAnsi="仿宋" w:eastAsia="仿宋" w:cs="仿宋"/>
                <w:color w:val="000000"/>
                <w:kern w:val="0"/>
                <w:sz w:val="18"/>
                <w:szCs w:val="18"/>
                <w:lang w:bidi="ar"/>
              </w:rPr>
              <w:t>明确国家、省、市三级城市运管服平台各类数据资源的数据标识项、数据架构、内容标准、数据分级和数据定义等内容。</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8</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数据交换与汇聚</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本标准将明确国家、省、市三级平台数据的交换内容、交换方式、交换接口、接口调用流程、接口安全验证</w:t>
            </w:r>
            <w:r>
              <w:rPr>
                <w:rFonts w:hint="eastAsia" w:ascii="仿宋" w:hAnsi="仿宋" w:eastAsia="仿宋" w:cs="仿宋"/>
                <w:color w:val="000000"/>
                <w:kern w:val="0"/>
                <w:sz w:val="18"/>
                <w:szCs w:val="18"/>
                <w:lang w:eastAsia="zh-Hans" w:bidi="ar"/>
              </w:rPr>
              <w:t>、</w:t>
            </w:r>
            <w:r>
              <w:rPr>
                <w:rFonts w:hint="eastAsia" w:ascii="仿宋" w:hAnsi="仿宋" w:eastAsia="仿宋" w:cs="仿宋"/>
                <w:color w:val="000000"/>
                <w:kern w:val="0"/>
                <w:sz w:val="18"/>
                <w:szCs w:val="18"/>
                <w:lang w:bidi="ar"/>
              </w:rPr>
              <w:t>与相关信息化系统等数据交换要求，明确三级平台的数据获取、数据清洗、数据融合等数据汇聚要求，明确数据质量管理的职责要求、管理指标、开放数据生存周期、各阶段管理要求、数据质量评价</w:t>
            </w:r>
            <w:r>
              <w:rPr>
                <w:rFonts w:hint="eastAsia" w:ascii="仿宋" w:hAnsi="仿宋" w:eastAsia="仿宋" w:cs="仿宋"/>
                <w:color w:val="000000"/>
                <w:kern w:val="0"/>
                <w:sz w:val="18"/>
                <w:szCs w:val="18"/>
                <w:lang w:eastAsia="zh-Hans" w:bidi="ar"/>
              </w:rPr>
              <w:t>、数据安全</w:t>
            </w:r>
            <w:r>
              <w:rPr>
                <w:rFonts w:hint="eastAsia" w:ascii="仿宋" w:hAnsi="仿宋" w:eastAsia="仿宋" w:cs="仿宋"/>
                <w:color w:val="000000"/>
                <w:kern w:val="0"/>
                <w:sz w:val="18"/>
                <w:szCs w:val="18"/>
                <w:lang w:bidi="ar"/>
              </w:rPr>
              <w:t>等技术内容。</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运行与监测</w:t>
            </w:r>
          </w:p>
        </w:tc>
        <w:tc>
          <w:tcPr>
            <w:tcW w:w="940" w:type="dxa"/>
            <w:vMerge w:val="restart"/>
            <w:shd w:val="clear" w:color="auto" w:fill="auto"/>
            <w:vAlign w:val="center"/>
          </w:tcPr>
          <w:p>
            <w:pPr>
              <w:widowControl/>
              <w:wordWrap w:val="0"/>
              <w:jc w:val="left"/>
              <w:textAlignment w:val="center"/>
              <w:rPr>
                <w:rFonts w:ascii="仿宋" w:hAnsi="仿宋" w:eastAsia="仿宋" w:cs="仿宋"/>
                <w:b/>
                <w:bCs/>
                <w:color w:val="000000"/>
                <w:kern w:val="0"/>
                <w:sz w:val="18"/>
                <w:szCs w:val="18"/>
                <w:lang w:bidi="ar"/>
              </w:rPr>
            </w:pPr>
            <w:r>
              <w:rPr>
                <w:rFonts w:hint="eastAsia" w:ascii="仿宋" w:hAnsi="仿宋" w:eastAsia="仿宋" w:cs="仿宋"/>
                <w:color w:val="000000"/>
                <w:kern w:val="0"/>
                <w:sz w:val="18"/>
                <w:szCs w:val="18"/>
                <w:lang w:bidi="ar"/>
              </w:rPr>
              <w:t>市政设施</w:t>
            </w:r>
          </w:p>
        </w:tc>
        <w:tc>
          <w:tcPr>
            <w:tcW w:w="663" w:type="dxa"/>
            <w:shd w:val="clear" w:color="auto" w:fill="auto"/>
            <w:vAlign w:val="center"/>
          </w:tcPr>
          <w:p>
            <w:pPr>
              <w:widowControl/>
              <w:wordWrap w:val="0"/>
              <w:jc w:val="center"/>
              <w:textAlignment w:val="center"/>
              <w:rPr>
                <w:rFonts w:ascii="仿宋" w:hAnsi="仿宋" w:eastAsia="仿宋" w:cs="仿宋"/>
                <w:b w:val="0"/>
                <w:bCs w:val="0"/>
                <w:color w:val="000000"/>
                <w:kern w:val="0"/>
                <w:sz w:val="18"/>
                <w:szCs w:val="18"/>
                <w:lang w:bidi="ar"/>
              </w:rPr>
            </w:pPr>
            <w:r>
              <w:rPr>
                <w:rFonts w:hint="eastAsia" w:ascii="仿宋" w:hAnsi="仿宋" w:eastAsia="仿宋" w:cs="仿宋"/>
                <w:b w:val="0"/>
                <w:bCs w:val="0"/>
                <w:color w:val="000000"/>
                <w:kern w:val="0"/>
                <w:sz w:val="18"/>
                <w:szCs w:val="18"/>
                <w:lang w:bidi="ar"/>
              </w:rPr>
              <w:t>9</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kern w:val="0"/>
                <w:sz w:val="18"/>
                <w:szCs w:val="18"/>
                <w:lang w:bidi="ar"/>
              </w:rPr>
            </w:pPr>
            <w:r>
              <w:rPr>
                <w:rFonts w:hint="eastAsia" w:ascii="仿宋" w:hAnsi="仿宋" w:eastAsia="仿宋" w:cs="仿宋"/>
                <w:b w:val="0"/>
                <w:bCs w:val="0"/>
                <w:color w:val="000000"/>
                <w:kern w:val="0"/>
                <w:sz w:val="18"/>
                <w:szCs w:val="18"/>
                <w:lang w:bidi="ar"/>
              </w:rPr>
              <w:t>城镇燃气设施运行、维护和抢修安全技术规程</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kern w:val="0"/>
                <w:sz w:val="18"/>
                <w:szCs w:val="18"/>
                <w:lang w:bidi="ar"/>
              </w:rPr>
            </w:pPr>
            <w:r>
              <w:rPr>
                <w:rFonts w:hint="eastAsia" w:ascii="仿宋" w:hAnsi="仿宋" w:eastAsia="仿宋" w:cs="仿宋"/>
                <w:b w:val="0"/>
                <w:bCs w:val="0"/>
                <w:color w:val="000000"/>
                <w:kern w:val="0"/>
                <w:sz w:val="18"/>
                <w:szCs w:val="18"/>
                <w:lang w:bidi="ar"/>
              </w:rPr>
              <w:t>本规程适用于城镇燃气管道及其附件、场站、调压设施、用户设施和用气设备等所组成的城镇燃气供应系统的运行、维护和抢修。</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kern w:val="0"/>
                <w:sz w:val="18"/>
                <w:szCs w:val="18"/>
                <w:lang w:bidi="ar"/>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10</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城镇供水管网运行、维护及安全技术规程</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本规程适用于城镇供水管网的运行、维护及安全管理。</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11</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城镇排水管道检测与评估技术规程</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本规程适用于对既有城镇排水管道及其附属构筑物进行的检测与评估。</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12</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城市排水防涝设施数据采集与维护技术规范</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本规范适用于城市排水防涝设施的数据采集、录入、校核、维护与使用。</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13</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城镇供热监测与调控系统技术规程</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本规程适用于城镇供热监测与调控系统的设计、施工、调试、验收和运行维护。</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14</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kern w:val="0"/>
                <w:sz w:val="18"/>
                <w:szCs w:val="18"/>
                <w:lang w:bidi="ar"/>
              </w:rPr>
            </w:pPr>
            <w:r>
              <w:rPr>
                <w:rFonts w:hint="eastAsia" w:ascii="仿宋" w:hAnsi="仿宋" w:eastAsia="仿宋" w:cs="仿宋"/>
                <w:b w:val="0"/>
                <w:bCs w:val="0"/>
                <w:color w:val="000000"/>
                <w:kern w:val="0"/>
                <w:sz w:val="18"/>
                <w:szCs w:val="18"/>
                <w:lang w:bidi="ar"/>
              </w:rPr>
              <w:t>城市地下综合管廊运行维护及安全技术标准</w:t>
            </w:r>
          </w:p>
        </w:tc>
        <w:tc>
          <w:tcPr>
            <w:tcW w:w="7185" w:type="dxa"/>
            <w:shd w:val="clear" w:color="auto" w:fill="auto"/>
            <w:vAlign w:val="center"/>
          </w:tcPr>
          <w:p>
            <w:pPr>
              <w:widowControl/>
              <w:wordWrap w:val="0"/>
              <w:jc w:val="left"/>
              <w:textAlignment w:val="center"/>
              <w:rPr>
                <w:rFonts w:ascii="仿宋" w:hAnsi="仿宋" w:eastAsia="仿宋" w:cs="仿宋"/>
                <w:b w:val="0"/>
                <w:bCs w:val="0"/>
              </w:rPr>
            </w:pPr>
            <w:r>
              <w:rPr>
                <w:rFonts w:hint="eastAsia" w:ascii="仿宋" w:hAnsi="仿宋" w:eastAsia="仿宋" w:cs="仿宋"/>
                <w:b w:val="0"/>
                <w:bCs w:val="0"/>
                <w:color w:val="000000"/>
                <w:kern w:val="0"/>
                <w:sz w:val="18"/>
                <w:szCs w:val="18"/>
                <w:lang w:bidi="ar"/>
              </w:rPr>
              <w:t>本标准规定了城市地下综合管廊的运行管理、维护管理、安全管理、信息管理以及管廊本体管理、附属设施管理、入廊管线管理等基本要求。</w:t>
            </w:r>
          </w:p>
        </w:tc>
        <w:tc>
          <w:tcPr>
            <w:tcW w:w="1122" w:type="dxa"/>
            <w:shd w:val="clear" w:color="auto" w:fill="auto"/>
            <w:vAlign w:val="center"/>
          </w:tcPr>
          <w:p>
            <w:pPr>
              <w:widowControl/>
              <w:wordWrap w:val="0"/>
              <w:jc w:val="center"/>
              <w:textAlignment w:val="center"/>
              <w:rPr>
                <w:rFonts w:ascii="仿宋" w:hAnsi="仿宋" w:eastAsia="仿宋" w:cs="仿宋"/>
                <w:color w:val="000000"/>
                <w:kern w:val="0"/>
                <w:sz w:val="18"/>
                <w:szCs w:val="18"/>
                <w:lang w:bidi="ar"/>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sz w:val="18"/>
                <w:szCs w:val="18"/>
              </w:rPr>
              <w:t>15</w:t>
            </w:r>
          </w:p>
        </w:tc>
        <w:tc>
          <w:tcPr>
            <w:tcW w:w="2565" w:type="dxa"/>
            <w:shd w:val="clear" w:color="auto" w:fill="auto"/>
            <w:vAlign w:val="center"/>
          </w:tcPr>
          <w:p>
            <w:pPr>
              <w:widowControl/>
              <w:wordWrap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城市运行管理服务平台 城市燃气管网风险监测</w:t>
            </w:r>
          </w:p>
        </w:tc>
        <w:tc>
          <w:tcPr>
            <w:tcW w:w="7185" w:type="dxa"/>
            <w:shd w:val="clear" w:color="auto" w:fill="auto"/>
            <w:vAlign w:val="center"/>
          </w:tcPr>
          <w:p>
            <w:pPr>
              <w:widowControl/>
              <w:wordWrap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本标准</w:t>
            </w:r>
            <w:r>
              <w:rPr>
                <w:rFonts w:hint="eastAsia" w:ascii="仿宋" w:hAnsi="仿宋" w:eastAsia="仿宋" w:cs="仿宋"/>
                <w:color w:val="000000"/>
                <w:kern w:val="0"/>
                <w:sz w:val="18"/>
                <w:szCs w:val="18"/>
                <w:lang w:val="en-US" w:eastAsia="zh-CN" w:bidi="ar"/>
              </w:rPr>
              <w:t>将</w:t>
            </w:r>
            <w:r>
              <w:rPr>
                <w:rFonts w:hint="eastAsia" w:ascii="仿宋" w:hAnsi="仿宋" w:eastAsia="仿宋" w:cs="仿宋"/>
                <w:color w:val="000000"/>
                <w:kern w:val="0"/>
                <w:sz w:val="18"/>
                <w:szCs w:val="18"/>
                <w:lang w:bidi="ar"/>
              </w:rPr>
              <w:t>规定燃气管线相邻地下空间、工商业用户、居民用户等业务领域的监测要求，明确相关领域的监测对象、监测内容、监测方法、风险评估方法、监测布点原则与要求、系统架构、监测数据传输、预警响应、处置响应、验收与运行维护等要求。</w:t>
            </w:r>
          </w:p>
        </w:tc>
        <w:tc>
          <w:tcPr>
            <w:tcW w:w="1122" w:type="dxa"/>
            <w:shd w:val="clear" w:color="auto" w:fill="auto"/>
            <w:vAlign w:val="center"/>
          </w:tcPr>
          <w:p>
            <w:pPr>
              <w:widowControl/>
              <w:wordWrap w:val="0"/>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路面塌陷</w:t>
            </w:r>
            <w:r>
              <w:rPr>
                <w:rFonts w:hint="eastAsia" w:ascii="仿宋" w:hAnsi="仿宋" w:eastAsia="仿宋" w:cs="仿宋"/>
                <w:color w:val="000000"/>
                <w:kern w:val="0"/>
                <w:sz w:val="18"/>
                <w:szCs w:val="18"/>
                <w:lang w:val="en-US" w:eastAsia="zh-CN" w:bidi="ar"/>
              </w:rPr>
              <w:t>隐患与风险</w:t>
            </w:r>
            <w:r>
              <w:rPr>
                <w:rFonts w:hint="eastAsia" w:ascii="仿宋" w:hAnsi="仿宋" w:eastAsia="仿宋" w:cs="仿宋"/>
                <w:color w:val="000000"/>
                <w:kern w:val="0"/>
                <w:sz w:val="18"/>
                <w:szCs w:val="18"/>
                <w:lang w:bidi="ar"/>
              </w:rPr>
              <w:t>监测预警</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规定路面塌陷的监测对象、监测内容、监测方法、具体监测指标要求、涉及的监测设备技术选型、主要技术参数、监测方案制定和要求、路面塌陷隐患处置方法等。本标准适用于城市路面塌陷的实时监测、及时预警及相关机制建立等。</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房屋建筑</w:t>
            </w: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17</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老旧房屋风险监测</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本标准将规定城市老旧房屋和自建房日常运行监测的技术要求，明确运行监测技术规范的监测对象、监测内容、监测方法、具体监测指标要求、监测传感器布设、系统架构、监测数据传输、验收与运行维护</w:t>
            </w:r>
            <w:r>
              <w:rPr>
                <w:rFonts w:hint="eastAsia" w:ascii="仿宋" w:hAnsi="仿宋" w:eastAsia="仿宋" w:cs="仿宋"/>
                <w:color w:val="000000"/>
                <w:kern w:val="0"/>
                <w:sz w:val="18"/>
                <w:szCs w:val="18"/>
                <w:lang w:eastAsia="zh-Hans" w:bidi="ar"/>
              </w:rPr>
              <w:t>、</w:t>
            </w:r>
            <w:r>
              <w:rPr>
                <w:rFonts w:hint="eastAsia" w:ascii="仿宋" w:hAnsi="仿宋" w:eastAsia="仿宋" w:cs="仿宋"/>
                <w:color w:val="000000"/>
                <w:kern w:val="0"/>
                <w:sz w:val="18"/>
                <w:szCs w:val="18"/>
                <w:lang w:bidi="ar"/>
              </w:rPr>
              <w:t>预警响应和处置响应等内容。</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公共重要建筑物外立面风险监测</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规定公共重要建筑物外立面运行监测技术的要求，明确公共重要建筑物外立面运行监测技术规范的监测对象、监测内容、监测方法、具体监测指标要求、监测传感器布设、监测数据分析、预警响应和处置响应等内容。</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交通设施</w:t>
            </w: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19</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市政桥梁和隧道风险监测</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规定市政桥梁和隧道风险监测的技术要求，明确市政桥梁和隧道的自身结构、外部荷载、自然灾害与气象环境等的监测对象、监测内容、监测方法、具体监测指标要求、监测传感器布设、监测数据分析、协调机制等内容。</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sz w:val="18"/>
                <w:szCs w:val="18"/>
              </w:rPr>
              <w:t>20</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建筑与桥梁结构监测技术规范</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本规范适用于高层与高耸、大跨空间、桥梁、隔震等工程结构监测以及受穿越施工影响的既有结构的监测。</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2</w:t>
            </w:r>
            <w:r>
              <w:rPr>
                <w:rFonts w:hint="eastAsia" w:ascii="仿宋" w:hAnsi="仿宋" w:eastAsia="仿宋" w:cs="仿宋"/>
                <w:color w:val="000000"/>
                <w:kern w:val="0"/>
                <w:sz w:val="18"/>
                <w:szCs w:val="18"/>
                <w:lang w:val="en-US" w:eastAsia="zh-CN" w:bidi="ar"/>
              </w:rPr>
              <w:t>1</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电动汽车公共充电桩运行监测</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本标准将规定电动汽车充电桩监测技术的要求，明确电动汽车充电桩运行监测的监测对象、监测内容、监测方法、具体监测指标要求、监测传感器的布设、系统架构、监测数据传输、验收与运行维护等内容。</w:t>
            </w:r>
          </w:p>
        </w:tc>
        <w:tc>
          <w:tcPr>
            <w:tcW w:w="1122" w:type="dxa"/>
            <w:shd w:val="clear" w:color="auto" w:fill="auto"/>
            <w:vAlign w:val="center"/>
          </w:tcPr>
          <w:p>
            <w:pPr>
              <w:widowControl/>
              <w:wordWrap w:val="0"/>
              <w:ind w:firstLine="180" w:firstLineChars="10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22</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公共停车场 (库) 信息联网通用技术要求</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本标准适用于与停车信息平台联网的停车场的信息采集、传输、停车信息平台的数据存储。</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人员密集区域</w:t>
            </w:r>
          </w:p>
        </w:tc>
        <w:tc>
          <w:tcPr>
            <w:tcW w:w="663"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2</w:t>
            </w:r>
            <w:r>
              <w:rPr>
                <w:rFonts w:hint="eastAsia" w:ascii="仿宋" w:hAnsi="仿宋" w:eastAsia="仿宋" w:cs="仿宋"/>
                <w:color w:val="000000"/>
                <w:kern w:val="0"/>
                <w:sz w:val="18"/>
                <w:szCs w:val="18"/>
                <w:lang w:val="en-US" w:eastAsia="zh-CN" w:bidi="ar"/>
              </w:rPr>
              <w:t>3</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人员密集场所监测技术规范</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本标准将规定大型活动等人员密集场所监测技术的要求，明确人员密集场所监测对象、监测内容、监测方法、监测传感器的布设、监测数据分析等内容。</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134"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管理与监督</w:t>
            </w:r>
          </w:p>
        </w:tc>
        <w:tc>
          <w:tcPr>
            <w:tcW w:w="940"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市政公用</w:t>
            </w:r>
          </w:p>
        </w:tc>
        <w:tc>
          <w:tcPr>
            <w:tcW w:w="663"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2</w:t>
            </w:r>
            <w:r>
              <w:rPr>
                <w:rFonts w:hint="eastAsia" w:ascii="仿宋" w:hAnsi="仿宋" w:eastAsia="仿宋" w:cs="仿宋"/>
                <w:color w:val="000000"/>
                <w:kern w:val="0"/>
                <w:sz w:val="18"/>
                <w:szCs w:val="18"/>
                <w:lang w:val="en-US" w:eastAsia="zh-CN" w:bidi="ar"/>
              </w:rPr>
              <w:t>4</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燃气监管信息系统技术规范</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针对燃气基础台账、燃气综合检查、燃气隐患监管、燃气监督考核等监管业务，明确燃气监管信息系统的总体架构、功能要求、性能要求、数据要求、安全要求等内容，规范燃气行业综合管理信息化建设与运维。</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25</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排水监管信息系统技术规范</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针对排水基础台账、排水管网隐患排查、排水设施巡查养护、防汛指挥调度等监管业务，明确排水监管信息系统的总体架构、功能要求、性能要求、数据要求、安全要求等内容，规范排水行业综合管理信息化建设与运维。</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26</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 xml:space="preserve">城市运行管理服务平台 </w:t>
            </w:r>
            <w:r>
              <w:rPr>
                <w:rFonts w:hint="eastAsia" w:ascii="仿宋" w:hAnsi="仿宋" w:eastAsia="仿宋" w:cs="仿宋"/>
                <w:color w:val="000000"/>
                <w:kern w:val="0"/>
                <w:sz w:val="18"/>
                <w:szCs w:val="18"/>
                <w:lang w:eastAsia="zh-CN" w:bidi="ar"/>
              </w:rPr>
              <w:t>供热</w:t>
            </w:r>
            <w:r>
              <w:rPr>
                <w:rFonts w:hint="eastAsia" w:ascii="仿宋" w:hAnsi="仿宋" w:eastAsia="仿宋" w:cs="仿宋"/>
                <w:color w:val="000000"/>
                <w:kern w:val="0"/>
                <w:sz w:val="18"/>
                <w:szCs w:val="18"/>
                <w:lang w:bidi="ar"/>
              </w:rPr>
              <w:t>监管信息系统技术规范</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w:t>
            </w:r>
            <w:r>
              <w:rPr>
                <w:rFonts w:hint="eastAsia" w:ascii="仿宋" w:hAnsi="仿宋" w:eastAsia="仿宋" w:cs="仿宋"/>
                <w:color w:val="000000"/>
                <w:kern w:val="0"/>
                <w:sz w:val="18"/>
                <w:szCs w:val="18"/>
                <w:lang w:eastAsia="zh-CN" w:bidi="ar"/>
              </w:rPr>
              <w:t>将</w:t>
            </w:r>
            <w:r>
              <w:rPr>
                <w:rFonts w:hint="eastAsia" w:ascii="仿宋" w:hAnsi="仿宋" w:eastAsia="仿宋" w:cs="仿宋"/>
                <w:color w:val="000000"/>
                <w:kern w:val="0"/>
                <w:sz w:val="18"/>
                <w:szCs w:val="18"/>
                <w:lang w:bidi="ar"/>
              </w:rPr>
              <w:t>针对供热基础台账、供热管网隐患排查、供热设施巡查养护等监管业务，明确供热监管信息系统的总体架构、功能要求、性能要求、数据要求、安全要求等内容，规范供热行业综合管理信息化建设与运维。</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b w:val="0"/>
                <w:bCs w:val="0"/>
                <w:color w:val="000000"/>
                <w:sz w:val="18"/>
                <w:szCs w:val="18"/>
                <w:lang w:val="en-US" w:eastAsia="zh-CN"/>
              </w:rPr>
            </w:pPr>
            <w:r>
              <w:rPr>
                <w:rFonts w:hint="eastAsia" w:ascii="仿宋" w:hAnsi="仿宋" w:eastAsia="仿宋" w:cs="仿宋"/>
                <w:b w:val="0"/>
                <w:bCs w:val="0"/>
                <w:color w:val="000000"/>
                <w:kern w:val="0"/>
                <w:sz w:val="18"/>
                <w:szCs w:val="18"/>
                <w:lang w:val="en-US" w:eastAsia="zh-CN" w:bidi="ar"/>
              </w:rPr>
              <w:t>27</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城市运行管理服务平台 供水监管信息系统技术规范</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标准将针对供水基础台账、供水管网隐患排查、供水设施巡查养护等监管业务，明确供水监管信息系统的总体架构、功能要求、性能要求、数据要求、安全要求等内容，规范供水行业综合管理信息化建设与运维。</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b w:val="0"/>
                <w:bCs w:val="0"/>
                <w:color w:val="000000"/>
                <w:sz w:val="18"/>
                <w:szCs w:val="18"/>
                <w:lang w:val="en-US" w:eastAsia="zh-CN"/>
              </w:rPr>
            </w:pPr>
            <w:r>
              <w:rPr>
                <w:rFonts w:hint="eastAsia" w:ascii="仿宋" w:hAnsi="仿宋" w:eastAsia="仿宋" w:cs="仿宋"/>
                <w:b w:val="0"/>
                <w:bCs w:val="0"/>
                <w:color w:val="000000"/>
                <w:kern w:val="0"/>
                <w:sz w:val="18"/>
                <w:szCs w:val="18"/>
                <w:lang w:val="en-US" w:eastAsia="zh-CN" w:bidi="ar"/>
              </w:rPr>
              <w:t>28</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城市运行管理服务平台 道桥监管信息系统技术规范</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本标准将针对道桥基础台账、道桥养护管理、道桥综合检查等监管业务，明确道桥监管信息系统的总体架构、功能要求、性能要求、数据要求、安全要求等内容，规范道桥行业综合管理服务信息化建设与运维。</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b w:val="0"/>
                <w:bCs w:val="0"/>
                <w:color w:val="000000"/>
                <w:sz w:val="18"/>
                <w:szCs w:val="18"/>
                <w:lang w:val="en-US" w:eastAsia="zh-CN"/>
              </w:rPr>
            </w:pPr>
            <w:r>
              <w:rPr>
                <w:rFonts w:hint="eastAsia" w:ascii="仿宋" w:hAnsi="仿宋" w:eastAsia="仿宋" w:cs="仿宋"/>
                <w:b w:val="0"/>
                <w:bCs w:val="0"/>
                <w:color w:val="000000"/>
                <w:kern w:val="0"/>
                <w:sz w:val="18"/>
                <w:szCs w:val="18"/>
                <w:lang w:val="en-US" w:eastAsia="zh-CN" w:bidi="ar"/>
              </w:rPr>
              <w:t>29</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城市综合地下管线信息系统技术规范</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本规范适用于城市综合地下管线信息系统的建设、运行和服务。</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b w:val="0"/>
                <w:bCs w:val="0"/>
                <w:color w:val="000000"/>
                <w:sz w:val="18"/>
                <w:szCs w:val="18"/>
                <w:lang w:val="en-US" w:eastAsia="zh-CN"/>
              </w:rPr>
            </w:pPr>
            <w:r>
              <w:rPr>
                <w:rFonts w:hint="eastAsia" w:ascii="仿宋" w:hAnsi="仿宋" w:eastAsia="仿宋" w:cs="仿宋"/>
                <w:b w:val="0"/>
                <w:bCs w:val="0"/>
                <w:color w:val="000000"/>
                <w:kern w:val="0"/>
                <w:sz w:val="18"/>
                <w:szCs w:val="18"/>
                <w:lang w:val="en-US" w:eastAsia="zh-CN" w:bidi="ar"/>
              </w:rPr>
              <w:t>30</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智能井盖</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本标准适用于智能井盖设计、生产和管理维护。</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eastAsia" w:ascii="仿宋" w:hAnsi="仿宋" w:eastAsia="仿宋" w:cs="仿宋"/>
                <w:b w:val="0"/>
                <w:bCs w:val="0"/>
                <w:color w:val="000000"/>
                <w:sz w:val="18"/>
                <w:szCs w:val="18"/>
                <w:lang w:eastAsia="zh-CN"/>
              </w:rPr>
            </w:pPr>
            <w:r>
              <w:rPr>
                <w:rFonts w:hint="eastAsia" w:ascii="仿宋" w:hAnsi="仿宋" w:eastAsia="仿宋" w:cs="仿宋"/>
                <w:b w:val="0"/>
                <w:bCs w:val="0"/>
                <w:color w:val="000000"/>
                <w:kern w:val="0"/>
                <w:sz w:val="18"/>
                <w:szCs w:val="18"/>
                <w:lang w:bidi="ar"/>
              </w:rPr>
              <w:t>3</w:t>
            </w:r>
            <w:r>
              <w:rPr>
                <w:rFonts w:hint="eastAsia" w:ascii="仿宋" w:hAnsi="仿宋" w:eastAsia="仿宋" w:cs="仿宋"/>
                <w:b w:val="0"/>
                <w:bCs w:val="0"/>
                <w:color w:val="000000"/>
                <w:kern w:val="0"/>
                <w:sz w:val="18"/>
                <w:szCs w:val="18"/>
                <w:lang w:val="en-US" w:eastAsia="zh-CN" w:bidi="ar"/>
              </w:rPr>
              <w:t>1</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智能照明系统 通用要求</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本标准</w:t>
            </w:r>
            <w:r>
              <w:rPr>
                <w:rFonts w:hint="eastAsia" w:ascii="仿宋" w:hAnsi="仿宋" w:eastAsia="仿宋" w:cs="仿宋"/>
                <w:b w:val="0"/>
                <w:bCs w:val="0"/>
                <w:color w:val="000000"/>
                <w:kern w:val="0"/>
                <w:sz w:val="18"/>
                <w:szCs w:val="18"/>
                <w:lang w:eastAsia="zh-CN" w:bidi="ar"/>
              </w:rPr>
              <w:t>适用于各类建筑物、交通运输场所、公共场所等多种场合的智能照明系统</w:t>
            </w:r>
            <w:r>
              <w:rPr>
                <w:rFonts w:hint="eastAsia" w:ascii="仿宋" w:hAnsi="仿宋" w:eastAsia="仿宋" w:cs="仿宋"/>
                <w:b w:val="0"/>
                <w:bCs w:val="0"/>
                <w:color w:val="000000"/>
                <w:kern w:val="0"/>
                <w:sz w:val="18"/>
                <w:szCs w:val="18"/>
                <w:lang w:bidi="ar"/>
              </w:rPr>
              <w:t>。</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eastAsia" w:ascii="仿宋" w:hAnsi="仿宋" w:eastAsia="仿宋" w:cs="仿宋"/>
                <w:b w:val="0"/>
                <w:bCs w:val="0"/>
                <w:color w:val="000000"/>
                <w:kern w:val="0"/>
                <w:sz w:val="18"/>
                <w:szCs w:val="18"/>
                <w:lang w:eastAsia="zh-CN" w:bidi="ar"/>
              </w:rPr>
            </w:pPr>
            <w:r>
              <w:rPr>
                <w:rFonts w:ascii="仿宋" w:hAnsi="仿宋" w:eastAsia="仿宋" w:cs="仿宋"/>
                <w:b w:val="0"/>
                <w:bCs w:val="0"/>
                <w:color w:val="000000"/>
                <w:kern w:val="0"/>
                <w:sz w:val="18"/>
                <w:szCs w:val="18"/>
                <w:lang w:bidi="ar"/>
              </w:rPr>
              <w:t>3</w:t>
            </w:r>
            <w:r>
              <w:rPr>
                <w:rFonts w:hint="eastAsia" w:ascii="仿宋" w:hAnsi="仿宋" w:eastAsia="仿宋" w:cs="仿宋"/>
                <w:b w:val="0"/>
                <w:bCs w:val="0"/>
                <w:color w:val="000000"/>
                <w:kern w:val="0"/>
                <w:sz w:val="18"/>
                <w:szCs w:val="18"/>
                <w:lang w:val="en-US" w:eastAsia="zh-CN" w:bidi="ar"/>
              </w:rPr>
              <w:t>2</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kern w:val="0"/>
                <w:sz w:val="18"/>
                <w:szCs w:val="18"/>
                <w:lang w:bidi="ar"/>
              </w:rPr>
            </w:pPr>
            <w:r>
              <w:rPr>
                <w:rFonts w:hint="eastAsia" w:ascii="仿宋" w:hAnsi="仿宋" w:eastAsia="仿宋" w:cs="仿宋"/>
                <w:b w:val="0"/>
                <w:bCs w:val="0"/>
                <w:color w:val="000000"/>
                <w:kern w:val="0"/>
                <w:sz w:val="18"/>
                <w:szCs w:val="18"/>
                <w:lang w:bidi="ar"/>
              </w:rPr>
              <w:t>智慧城市 智慧停车 第1部分：总体要求</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kern w:val="0"/>
                <w:sz w:val="18"/>
                <w:szCs w:val="18"/>
                <w:lang w:bidi="ar"/>
              </w:rPr>
            </w:pPr>
            <w:r>
              <w:rPr>
                <w:rFonts w:hint="eastAsia" w:ascii="仿宋" w:hAnsi="仿宋" w:eastAsia="仿宋" w:cs="仿宋"/>
                <w:b w:val="0"/>
                <w:bCs w:val="0"/>
                <w:color w:val="000000"/>
                <w:kern w:val="0"/>
                <w:sz w:val="18"/>
                <w:szCs w:val="18"/>
                <w:lang w:eastAsia="zh-Hans" w:bidi="ar"/>
              </w:rPr>
              <w:t>本</w:t>
            </w:r>
            <w:r>
              <w:rPr>
                <w:rFonts w:hint="eastAsia" w:ascii="仿宋" w:hAnsi="仿宋" w:eastAsia="仿宋" w:cs="仿宋"/>
                <w:b w:val="0"/>
                <w:bCs w:val="0"/>
                <w:color w:val="000000"/>
                <w:kern w:val="0"/>
                <w:sz w:val="18"/>
                <w:szCs w:val="18"/>
                <w:lang w:bidi="ar"/>
              </w:rPr>
              <w:t>标准</w:t>
            </w:r>
            <w:r>
              <w:rPr>
                <w:rFonts w:hint="eastAsia" w:ascii="仿宋" w:hAnsi="仿宋" w:eastAsia="仿宋" w:cs="仿宋"/>
                <w:b w:val="0"/>
                <w:bCs w:val="0"/>
                <w:color w:val="000000"/>
                <w:kern w:val="0"/>
                <w:sz w:val="18"/>
                <w:szCs w:val="18"/>
                <w:lang w:eastAsia="zh-Hans" w:bidi="ar"/>
              </w:rPr>
              <w:t>规定了</w:t>
            </w:r>
            <w:r>
              <w:rPr>
                <w:rFonts w:hint="eastAsia" w:ascii="仿宋" w:hAnsi="仿宋" w:eastAsia="仿宋" w:cs="仿宋"/>
                <w:b w:val="0"/>
                <w:bCs w:val="0"/>
                <w:color w:val="000000"/>
                <w:kern w:val="0"/>
                <w:sz w:val="18"/>
                <w:szCs w:val="18"/>
                <w:lang w:bidi="ar"/>
              </w:rPr>
              <w:t>智慧停车的</w:t>
            </w:r>
            <w:r>
              <w:rPr>
                <w:rFonts w:hint="eastAsia" w:ascii="仿宋" w:hAnsi="仿宋" w:eastAsia="仿宋" w:cs="仿宋"/>
                <w:b w:val="0"/>
                <w:bCs w:val="0"/>
                <w:color w:val="000000"/>
                <w:kern w:val="0"/>
                <w:sz w:val="18"/>
                <w:szCs w:val="18"/>
                <w:lang w:eastAsia="zh-Hans" w:bidi="ar"/>
              </w:rPr>
              <w:t>物联感知、网络通信、计算存储、数据支撑、应用服务、安全等基本要求。适用于智慧停车的规划、设计、建设与运维。</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kern w:val="0"/>
                <w:sz w:val="18"/>
                <w:szCs w:val="18"/>
                <w:lang w:bidi="ar"/>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市容环卫</w:t>
            </w:r>
          </w:p>
        </w:tc>
        <w:tc>
          <w:tcPr>
            <w:tcW w:w="663"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3</w:t>
            </w:r>
            <w:r>
              <w:rPr>
                <w:rFonts w:hint="eastAsia" w:ascii="仿宋" w:hAnsi="仿宋" w:eastAsia="仿宋" w:cs="仿宋"/>
                <w:color w:val="000000"/>
                <w:kern w:val="0"/>
                <w:sz w:val="18"/>
                <w:szCs w:val="18"/>
                <w:lang w:val="en-US" w:eastAsia="zh-CN" w:bidi="ar"/>
              </w:rPr>
              <w:t>3</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智慧环卫信息系统技术规范</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针对环卫保洁、生活垃圾处理、建筑垃圾处置、城市公厕管理、生活垃圾分类等监管业务，明确智慧环卫信息系统的总体架构、功能要求、数据要求、安全要求、性能要求等内容，规范环卫固废行业综合管理信息化建设与运维。</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eastAsia" w:ascii="仿宋" w:hAnsi="仿宋" w:eastAsia="仿宋" w:cs="仿宋"/>
                <w:color w:val="000000"/>
                <w:kern w:val="0"/>
                <w:sz w:val="18"/>
                <w:szCs w:val="18"/>
                <w:lang w:eastAsia="zh-CN" w:bidi="ar"/>
              </w:rPr>
            </w:pPr>
            <w:r>
              <w:rPr>
                <w:rFonts w:ascii="仿宋" w:hAnsi="仿宋" w:eastAsia="仿宋" w:cs="仿宋"/>
                <w:color w:val="000000"/>
                <w:kern w:val="0"/>
                <w:sz w:val="18"/>
                <w:szCs w:val="18"/>
                <w:lang w:bidi="ar"/>
              </w:rPr>
              <w:t>3</w:t>
            </w:r>
            <w:r>
              <w:rPr>
                <w:rFonts w:hint="eastAsia" w:ascii="仿宋" w:hAnsi="仿宋" w:eastAsia="仿宋" w:cs="仿宋"/>
                <w:color w:val="000000"/>
                <w:kern w:val="0"/>
                <w:sz w:val="18"/>
                <w:szCs w:val="18"/>
                <w:lang w:val="en-US" w:eastAsia="zh-CN" w:bidi="ar"/>
              </w:rPr>
              <w:t>4</w:t>
            </w:r>
          </w:p>
        </w:tc>
        <w:tc>
          <w:tcPr>
            <w:tcW w:w="2565" w:type="dxa"/>
            <w:shd w:val="clear" w:color="auto" w:fill="auto"/>
            <w:vAlign w:val="center"/>
          </w:tcPr>
          <w:p>
            <w:pPr>
              <w:widowControl/>
              <w:wordWrap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城市运行管理服务平台 建筑垃圾</w:t>
            </w:r>
            <w:r>
              <w:rPr>
                <w:rFonts w:hint="eastAsia" w:ascii="仿宋" w:hAnsi="仿宋" w:eastAsia="仿宋" w:cs="仿宋"/>
                <w:color w:val="000000"/>
                <w:kern w:val="0"/>
                <w:sz w:val="18"/>
                <w:szCs w:val="18"/>
                <w:lang w:eastAsia="zh-Hans" w:bidi="ar"/>
              </w:rPr>
              <w:t>监管</w:t>
            </w:r>
            <w:r>
              <w:rPr>
                <w:rFonts w:hint="eastAsia" w:ascii="仿宋" w:hAnsi="仿宋" w:eastAsia="仿宋" w:cs="仿宋"/>
                <w:color w:val="000000"/>
                <w:kern w:val="0"/>
                <w:sz w:val="18"/>
                <w:szCs w:val="18"/>
                <w:lang w:bidi="ar"/>
              </w:rPr>
              <w:t>信息系统技术规范</w:t>
            </w:r>
          </w:p>
        </w:tc>
        <w:tc>
          <w:tcPr>
            <w:tcW w:w="7185" w:type="dxa"/>
            <w:shd w:val="clear" w:color="auto" w:fill="auto"/>
            <w:vAlign w:val="center"/>
          </w:tcPr>
          <w:p>
            <w:pPr>
              <w:widowControl/>
              <w:wordWrap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本标准将根据建筑垃圾业务实际需求，明确建筑垃圾源头监管、运输监管、消纳监管、资源化综合利用监管等全生命周期管理要求，明确建筑垃圾管理与服务边界、基本原则和要求，明确基础信息管理、审批管理、全流程违规管理、处置联单、评价管理、供需管理、统计分析等功能要求，明确与城市管理建筑垃圾信息化监管相关车辆、人员、设备的配备标准等内容。</w:t>
            </w:r>
          </w:p>
        </w:tc>
        <w:tc>
          <w:tcPr>
            <w:tcW w:w="1122" w:type="dxa"/>
            <w:shd w:val="clear" w:color="auto" w:fill="auto"/>
            <w:vAlign w:val="center"/>
          </w:tcPr>
          <w:p>
            <w:pPr>
              <w:widowControl/>
              <w:wordWrap w:val="0"/>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lang w:val="en-US" w:eastAsia="zh-CN"/>
              </w:rPr>
              <w:t>35</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城市户外广告设施巡检监管信息系统</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本标准适用于系统的设计、开发、应用以及数据交换等。</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园林绿化</w:t>
            </w:r>
          </w:p>
        </w:tc>
        <w:tc>
          <w:tcPr>
            <w:tcW w:w="663" w:type="dxa"/>
            <w:shd w:val="clear" w:color="auto" w:fill="auto"/>
            <w:vAlign w:val="center"/>
          </w:tcPr>
          <w:p>
            <w:pPr>
              <w:widowControl/>
              <w:wordWrap w:val="0"/>
              <w:jc w:val="center"/>
              <w:textAlignment w:val="center"/>
              <w:rPr>
                <w:rFonts w:hint="default" w:ascii="仿宋" w:hAnsi="仿宋" w:eastAsia="仿宋" w:cs="仿宋"/>
                <w:b w:val="0"/>
                <w:bCs w:val="0"/>
                <w:color w:val="000000"/>
                <w:sz w:val="18"/>
                <w:szCs w:val="18"/>
                <w:lang w:val="en-US" w:eastAsia="zh-CN"/>
              </w:rPr>
            </w:pPr>
            <w:r>
              <w:rPr>
                <w:rFonts w:hint="eastAsia" w:ascii="仿宋" w:hAnsi="仿宋" w:eastAsia="仿宋" w:cs="仿宋"/>
                <w:b w:val="0"/>
                <w:bCs w:val="0"/>
                <w:color w:val="000000"/>
                <w:kern w:val="0"/>
                <w:sz w:val="18"/>
                <w:szCs w:val="18"/>
                <w:lang w:val="en-US" w:eastAsia="zh-CN" w:bidi="ar"/>
              </w:rPr>
              <w:t>36</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城市园林绿化监督管理信息系统工程技术标准</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本标准适用于城市园林绿化主管部门监督管理信息系统的建设和管理。</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shd w:val="clear" w:color="auto" w:fill="auto"/>
            <w:vAlign w:val="center"/>
          </w:tcPr>
          <w:p>
            <w:pPr>
              <w:widowControl/>
              <w:wordWrap w:val="0"/>
              <w:jc w:val="center"/>
              <w:textAlignment w:val="center"/>
              <w:rPr>
                <w:rFonts w:ascii="仿宋" w:hAnsi="仿宋" w:eastAsia="仿宋" w:cs="仿宋"/>
                <w:color w:val="000000"/>
                <w:sz w:val="18"/>
                <w:szCs w:val="18"/>
              </w:rPr>
            </w:pPr>
            <w:r>
              <w:rPr>
                <w:rStyle w:val="16"/>
                <w:rFonts w:ascii="仿宋" w:hAnsi="仿宋" w:eastAsia="仿宋" w:cs="仿宋"/>
                <w:sz w:val="18"/>
                <w:szCs w:val="18"/>
                <w:lang w:bidi="ar"/>
              </w:rPr>
              <w:t>城市</w:t>
            </w:r>
            <w:r>
              <w:rPr>
                <w:rStyle w:val="17"/>
                <w:rFonts w:ascii="仿宋" w:hAnsi="仿宋" w:eastAsia="仿宋" w:cs="仿宋"/>
                <w:sz w:val="18"/>
                <w:szCs w:val="18"/>
                <w:lang w:bidi="ar"/>
              </w:rPr>
              <w:t>管理综合执法</w:t>
            </w: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37</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ascii="仿宋_GB2312" w:hAnsi="仿宋_GB2312" w:eastAsia="仿宋_GB2312" w:cs="仿宋_GB2312"/>
                <w:sz w:val="18"/>
                <w:szCs w:val="18"/>
              </w:rPr>
              <w:t>城市运行管理服务平台</w:t>
            </w:r>
            <w:r>
              <w:rPr>
                <w:rFonts w:hint="eastAsia" w:ascii="仿宋_GB2312" w:hAnsi="仿宋_GB2312" w:eastAsia="仿宋_GB2312" w:cs="仿宋_GB2312"/>
                <w:sz w:val="18"/>
                <w:szCs w:val="18"/>
              </w:rPr>
              <w:t xml:space="preserve"> 综合</w:t>
            </w:r>
            <w:r>
              <w:rPr>
                <w:rFonts w:ascii="仿宋_GB2312" w:hAnsi="仿宋_GB2312" w:eastAsia="仿宋_GB2312" w:cs="仿宋_GB2312"/>
                <w:sz w:val="18"/>
                <w:szCs w:val="18"/>
              </w:rPr>
              <w:t>执法信息</w:t>
            </w:r>
            <w:r>
              <w:rPr>
                <w:rFonts w:hint="eastAsia" w:ascii="仿宋_GB2312" w:hAnsi="仿宋_GB2312" w:eastAsia="仿宋_GB2312" w:cs="仿宋_GB2312"/>
                <w:sz w:val="18"/>
                <w:szCs w:val="18"/>
              </w:rPr>
              <w:t>系统</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Style w:val="16"/>
                <w:rFonts w:ascii="仿宋" w:hAnsi="仿宋" w:eastAsia="仿宋" w:cs="仿宋"/>
                <w:sz w:val="18"/>
                <w:szCs w:val="18"/>
                <w:lang w:bidi="ar"/>
              </w:rPr>
              <w:t>本标准将按照城市管理综合执法领域简易程序、普通程序设定的</w:t>
            </w:r>
            <w:r>
              <w:rPr>
                <w:rStyle w:val="17"/>
                <w:rFonts w:ascii="仿宋" w:hAnsi="仿宋" w:eastAsia="仿宋" w:cs="仿宋"/>
                <w:sz w:val="18"/>
                <w:szCs w:val="18"/>
                <w:lang w:bidi="ar"/>
              </w:rPr>
              <w:t>要求，明确执法案件、执法文号编制的基本原则和要求，明确违法线索归集、投诉举报处理、执法案源管理、档案管理、执法公示等功能要求。</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134"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服务与评价</w:t>
            </w:r>
          </w:p>
        </w:tc>
        <w:tc>
          <w:tcPr>
            <w:tcW w:w="940"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公众服务</w:t>
            </w: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38</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公众服务系统</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本标准在《数字化城市管理信息系统 第10部分：社会监督信息受理》(报批稿) 基础上，根据城市运管服平台公众服务系统的建设要求，明确便民服务相关公共设施及公共机构的类型及属性信息</w:t>
            </w:r>
            <w:r>
              <w:rPr>
                <w:rFonts w:hint="eastAsia" w:ascii="仿宋" w:hAnsi="仿宋" w:eastAsia="仿宋" w:cs="仿宋"/>
                <w:color w:val="000000"/>
                <w:kern w:val="0"/>
                <w:sz w:val="18"/>
                <w:szCs w:val="18"/>
                <w:lang w:eastAsia="zh-Hans" w:bidi="ar"/>
              </w:rPr>
              <w:t>，</w:t>
            </w:r>
            <w:r>
              <w:rPr>
                <w:rFonts w:hint="eastAsia" w:ascii="仿宋" w:hAnsi="仿宋" w:eastAsia="仿宋" w:cs="仿宋"/>
                <w:color w:val="000000"/>
                <w:kern w:val="0"/>
                <w:sz w:val="18"/>
                <w:szCs w:val="18"/>
                <w:lang w:bidi="ar"/>
              </w:rPr>
              <w:t>规定城市运行管理服务平台的公众服务事项分级分类标准及编码，明确公众诉求渠道 (12345或12319等热线、网站、媒介等) 受理与办理的规程，明确公众服务满意度的评价指标、评价方法、评价结果应用等技术要求。</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eastAsia="zh-CN" w:bidi="ar"/>
              </w:rPr>
              <w:t>待</w:t>
            </w:r>
            <w:r>
              <w:rPr>
                <w:rFonts w:hint="eastAsia" w:ascii="仿宋" w:hAnsi="仿宋" w:eastAsia="仿宋" w:cs="仿宋"/>
                <w:color w:val="000000"/>
                <w:kern w:val="0"/>
                <w:sz w:val="18"/>
                <w:szCs w:val="18"/>
                <w:lang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管理体系</w:t>
            </w: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39</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w:t>
            </w:r>
            <w:r>
              <w:rPr>
                <w:rFonts w:ascii="仿宋" w:hAnsi="仿宋" w:eastAsia="仿宋" w:cs="仿宋"/>
                <w:color w:val="000000"/>
                <w:kern w:val="0"/>
                <w:sz w:val="18"/>
                <w:szCs w:val="18"/>
                <w:lang w:bidi="ar"/>
              </w:rPr>
              <w:t xml:space="preserve"> </w:t>
            </w:r>
            <w:r>
              <w:rPr>
                <w:rFonts w:hint="eastAsia" w:ascii="仿宋" w:hAnsi="仿宋" w:eastAsia="仿宋" w:cs="仿宋"/>
                <w:color w:val="000000"/>
                <w:kern w:val="0"/>
                <w:sz w:val="18"/>
                <w:szCs w:val="18"/>
                <w:lang w:bidi="ar"/>
              </w:rPr>
              <w:t>第</w:t>
            </w:r>
            <w:r>
              <w:rPr>
                <w:rFonts w:ascii="仿宋" w:hAnsi="仿宋" w:eastAsia="仿宋" w:cs="仿宋"/>
                <w:color w:val="000000"/>
                <w:kern w:val="0"/>
                <w:sz w:val="18"/>
                <w:szCs w:val="18"/>
                <w:lang w:bidi="ar"/>
              </w:rPr>
              <w:t>8</w:t>
            </w:r>
            <w:r>
              <w:rPr>
                <w:rFonts w:hint="eastAsia" w:ascii="仿宋" w:hAnsi="仿宋" w:eastAsia="仿宋" w:cs="仿宋"/>
                <w:color w:val="000000"/>
                <w:kern w:val="0"/>
                <w:sz w:val="18"/>
                <w:szCs w:val="18"/>
                <w:lang w:bidi="ar"/>
              </w:rPr>
              <w:t>部分</w:t>
            </w:r>
            <w:r>
              <w:rPr>
                <w:rFonts w:ascii="仿宋" w:hAnsi="仿宋" w:eastAsia="仿宋" w:cs="仿宋"/>
                <w:color w:val="000000"/>
                <w:kern w:val="0"/>
                <w:sz w:val="18"/>
                <w:szCs w:val="18"/>
                <w:lang w:bidi="ar"/>
              </w:rPr>
              <w:t xml:space="preserve"> </w:t>
            </w:r>
            <w:r>
              <w:rPr>
                <w:rFonts w:hint="eastAsia" w:ascii="仿宋" w:hAnsi="仿宋" w:eastAsia="仿宋" w:cs="仿宋"/>
                <w:color w:val="000000"/>
                <w:kern w:val="0"/>
                <w:sz w:val="18"/>
                <w:szCs w:val="18"/>
                <w:lang w:bidi="ar"/>
              </w:rPr>
              <w:t>信息处理</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sz w:val="18"/>
                <w:szCs w:val="18"/>
              </w:rPr>
              <w:t>本标准在《数字化城市管理信息系统 第 8 部分：立案、处置和结案》GB∕T30428.8-2020基础上，补充完善运行监测模式（风险监测、分析、预警、派单、处置、评价等闭环管理）、综合管理模式（问题发现、派遣、处置、核查、结案、评价等闭环管理）、公众服务模式（群众诉求受理、派单、处理、反馈、回复、评价等闭环管理）技术要求等。</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eastAsia="zh-CN" w:bidi="ar"/>
              </w:rPr>
              <w:t>待</w:t>
            </w:r>
            <w:r>
              <w:rPr>
                <w:rFonts w:hint="eastAsia" w:ascii="仿宋" w:hAnsi="仿宋" w:eastAsia="仿宋" w:cs="仿宋"/>
                <w:color w:val="000000"/>
                <w:kern w:val="0"/>
                <w:sz w:val="18"/>
                <w:szCs w:val="18"/>
                <w:lang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40</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系统维护</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本标准将明确城市运管服平台的日常管理、软硬件维护、应急预案等系统维护要求。</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4</w:t>
            </w:r>
            <w:r>
              <w:rPr>
                <w:rFonts w:hint="eastAsia" w:ascii="仿宋" w:hAnsi="仿宋" w:eastAsia="仿宋" w:cs="仿宋"/>
                <w:color w:val="000000"/>
                <w:kern w:val="0"/>
                <w:sz w:val="18"/>
                <w:szCs w:val="18"/>
                <w:lang w:val="en-US" w:eastAsia="zh-CN" w:bidi="ar"/>
              </w:rPr>
              <w:t>1</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评估验收</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本标准在《数字化城市管理信息系统 第 6 部分：验收》基础上，修订平台的验收内容、验收程序、验收方法等要求。</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eastAsia="zh-CN" w:bidi="ar"/>
              </w:rPr>
              <w:t>待</w:t>
            </w:r>
            <w:r>
              <w:rPr>
                <w:rFonts w:hint="eastAsia" w:ascii="仿宋" w:hAnsi="仿宋" w:eastAsia="仿宋" w:cs="仿宋"/>
                <w:color w:val="000000"/>
                <w:kern w:val="0"/>
                <w:sz w:val="18"/>
                <w:szCs w:val="18"/>
                <w:lang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过程评价</w:t>
            </w:r>
          </w:p>
        </w:tc>
        <w:tc>
          <w:tcPr>
            <w:tcW w:w="663"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4</w:t>
            </w:r>
            <w:r>
              <w:rPr>
                <w:rFonts w:hint="eastAsia" w:ascii="仿宋" w:hAnsi="仿宋" w:eastAsia="仿宋" w:cs="仿宋"/>
                <w:color w:val="000000"/>
                <w:kern w:val="0"/>
                <w:sz w:val="18"/>
                <w:szCs w:val="18"/>
                <w:lang w:val="en-US" w:eastAsia="zh-CN" w:bidi="ar"/>
              </w:rPr>
              <w:t>2</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第4部分 绩效评价</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本标准在《数字化城市管理信息系统 第 4 部分：绩效评价》GB/T 30428.4-2016基础上，修订完善绩效评价的基本规定、评价周期、评价指标、评价方法等要求。</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eastAsia="zh-CN" w:bidi="ar"/>
              </w:rPr>
              <w:t>待</w:t>
            </w:r>
            <w:r>
              <w:rPr>
                <w:rFonts w:hint="eastAsia" w:ascii="仿宋" w:hAnsi="仿宋" w:eastAsia="仿宋" w:cs="仿宋"/>
                <w:color w:val="000000"/>
                <w:kern w:val="0"/>
                <w:sz w:val="18"/>
                <w:szCs w:val="18"/>
                <w:lang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结果评价</w:t>
            </w: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43</w:t>
            </w:r>
          </w:p>
        </w:tc>
        <w:tc>
          <w:tcPr>
            <w:tcW w:w="2565" w:type="dxa"/>
            <w:shd w:val="clear" w:color="auto" w:fill="auto"/>
            <w:vAlign w:val="center"/>
          </w:tcPr>
          <w:p>
            <w:pPr>
              <w:widowControl/>
              <w:wordWrap w:val="0"/>
              <w:jc w:val="left"/>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城市运行管理服务平台 管理监督</w:t>
            </w:r>
            <w:r>
              <w:rPr>
                <w:rFonts w:hint="eastAsia" w:ascii="仿宋" w:hAnsi="仿宋" w:eastAsia="仿宋" w:cs="仿宋"/>
                <w:color w:val="000000"/>
                <w:kern w:val="0"/>
                <w:sz w:val="18"/>
                <w:szCs w:val="18"/>
                <w:lang w:eastAsia="zh-CN" w:bidi="ar"/>
              </w:rPr>
              <w:t>指标及</w:t>
            </w:r>
            <w:r>
              <w:rPr>
                <w:rFonts w:hint="eastAsia" w:ascii="仿宋" w:hAnsi="仿宋" w:eastAsia="仿宋" w:cs="仿宋"/>
                <w:color w:val="000000"/>
                <w:kern w:val="0"/>
                <w:sz w:val="18"/>
                <w:szCs w:val="18"/>
                <w:lang w:bidi="ar"/>
              </w:rPr>
              <w:t>评价</w:t>
            </w:r>
            <w:r>
              <w:rPr>
                <w:rFonts w:hint="eastAsia" w:ascii="仿宋" w:hAnsi="仿宋" w:eastAsia="仿宋" w:cs="仿宋"/>
                <w:color w:val="000000"/>
                <w:kern w:val="0"/>
                <w:sz w:val="18"/>
                <w:szCs w:val="18"/>
                <w:lang w:eastAsia="zh-CN" w:bidi="ar"/>
              </w:rPr>
              <w:t>标准</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本标准以城市管理“干净、整洁、有序”为目标，突出管理和服务，其规定的城市管理监督指标体系是评价城市管理和服务水平的主要依据。</w:t>
            </w:r>
          </w:p>
        </w:tc>
        <w:tc>
          <w:tcPr>
            <w:tcW w:w="1122"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eastAsia="zh-CN"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4</w:t>
            </w:r>
            <w:r>
              <w:rPr>
                <w:rFonts w:hint="eastAsia" w:ascii="仿宋" w:hAnsi="仿宋" w:eastAsia="仿宋" w:cs="仿宋"/>
                <w:color w:val="000000"/>
                <w:kern w:val="0"/>
                <w:sz w:val="18"/>
                <w:szCs w:val="18"/>
                <w:lang w:val="en-US" w:eastAsia="zh-CN" w:bidi="ar"/>
              </w:rPr>
              <w:t>4</w:t>
            </w:r>
          </w:p>
        </w:tc>
        <w:tc>
          <w:tcPr>
            <w:tcW w:w="2565" w:type="dxa"/>
            <w:shd w:val="clear" w:color="auto" w:fill="auto"/>
            <w:vAlign w:val="center"/>
          </w:tcPr>
          <w:p>
            <w:pPr>
              <w:widowControl/>
              <w:wordWrap w:val="0"/>
              <w:jc w:val="left"/>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城市运行管理服务平台 运行监测</w:t>
            </w:r>
            <w:r>
              <w:rPr>
                <w:rFonts w:hint="eastAsia" w:ascii="仿宋" w:hAnsi="仿宋" w:eastAsia="仿宋" w:cs="仿宋"/>
                <w:color w:val="000000"/>
                <w:kern w:val="0"/>
                <w:sz w:val="18"/>
                <w:szCs w:val="18"/>
                <w:lang w:eastAsia="zh-CN" w:bidi="ar"/>
              </w:rPr>
              <w:t>指标及</w:t>
            </w:r>
            <w:r>
              <w:rPr>
                <w:rFonts w:hint="eastAsia" w:ascii="仿宋" w:hAnsi="仿宋" w:eastAsia="仿宋" w:cs="仿宋"/>
                <w:color w:val="000000"/>
                <w:kern w:val="0"/>
                <w:sz w:val="18"/>
                <w:szCs w:val="18"/>
                <w:lang w:bidi="ar"/>
              </w:rPr>
              <w:t>评价</w:t>
            </w:r>
            <w:r>
              <w:rPr>
                <w:rFonts w:hint="eastAsia" w:ascii="仿宋" w:hAnsi="仿宋" w:eastAsia="仿宋" w:cs="仿宋"/>
                <w:color w:val="000000"/>
                <w:kern w:val="0"/>
                <w:sz w:val="18"/>
                <w:szCs w:val="18"/>
                <w:lang w:eastAsia="zh-CN" w:bidi="ar"/>
              </w:rPr>
              <w:t>标准</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Style w:val="16"/>
                <w:rFonts w:ascii="仿宋" w:hAnsi="仿宋" w:eastAsia="仿宋" w:cs="仿宋"/>
                <w:sz w:val="18"/>
                <w:szCs w:val="18"/>
                <w:lang w:bidi="ar"/>
              </w:rPr>
              <w:t>本标准</w:t>
            </w:r>
            <w:r>
              <w:rPr>
                <w:rStyle w:val="16"/>
                <w:rFonts w:ascii="仿宋" w:hAnsi="仿宋" w:eastAsia="仿宋" w:cs="仿宋"/>
                <w:sz w:val="18"/>
                <w:szCs w:val="18"/>
                <w:lang w:eastAsia="zh-CN" w:bidi="ar"/>
              </w:rPr>
              <w:t>以城市运行“安全、高效、健康”为目标，统筹发展和安全而规定的城市</w:t>
            </w:r>
            <w:r>
              <w:rPr>
                <w:rStyle w:val="16"/>
                <w:rFonts w:ascii="仿宋" w:hAnsi="仿宋" w:eastAsia="仿宋" w:cs="仿宋"/>
                <w:sz w:val="18"/>
                <w:szCs w:val="18"/>
                <w:lang w:bidi="ar"/>
              </w:rPr>
              <w:t>运行监测指标</w:t>
            </w:r>
            <w:r>
              <w:rPr>
                <w:rStyle w:val="16"/>
                <w:rFonts w:ascii="仿宋" w:hAnsi="仿宋" w:eastAsia="仿宋" w:cs="仿宋"/>
                <w:sz w:val="18"/>
                <w:szCs w:val="18"/>
                <w:lang w:eastAsia="zh-CN" w:bidi="ar"/>
              </w:rPr>
              <w:t>体系，是评价城市运行监测水平的主要依据</w:t>
            </w:r>
            <w:r>
              <w:rPr>
                <w:rStyle w:val="17"/>
                <w:rFonts w:ascii="仿宋" w:hAnsi="仿宋" w:eastAsia="仿宋" w:cs="仿宋"/>
                <w:sz w:val="18"/>
                <w:szCs w:val="18"/>
                <w:lang w:bidi="ar"/>
              </w:rPr>
              <w:t>。</w:t>
            </w:r>
          </w:p>
        </w:tc>
        <w:tc>
          <w:tcPr>
            <w:tcW w:w="1122"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eastAsia="zh-CN"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45</w:t>
            </w:r>
          </w:p>
        </w:tc>
        <w:tc>
          <w:tcPr>
            <w:tcW w:w="2565" w:type="dxa"/>
            <w:shd w:val="clear" w:color="auto" w:fill="auto"/>
            <w:vAlign w:val="center"/>
          </w:tcPr>
          <w:p>
            <w:pPr>
              <w:widowControl/>
              <w:wordWrap w:val="0"/>
              <w:jc w:val="left"/>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城市运行管理服务平台 公众服务</w:t>
            </w:r>
            <w:r>
              <w:rPr>
                <w:rFonts w:hint="eastAsia" w:ascii="仿宋" w:hAnsi="仿宋" w:eastAsia="仿宋" w:cs="仿宋"/>
                <w:color w:val="000000"/>
                <w:kern w:val="0"/>
                <w:sz w:val="18"/>
                <w:szCs w:val="18"/>
                <w:lang w:eastAsia="zh-CN" w:bidi="ar"/>
              </w:rPr>
              <w:t>指标及</w:t>
            </w:r>
            <w:r>
              <w:rPr>
                <w:rFonts w:hint="eastAsia" w:ascii="仿宋" w:hAnsi="仿宋" w:eastAsia="仿宋" w:cs="仿宋"/>
                <w:color w:val="000000"/>
                <w:kern w:val="0"/>
                <w:sz w:val="18"/>
                <w:szCs w:val="18"/>
                <w:lang w:bidi="ar"/>
              </w:rPr>
              <w:t>评价</w:t>
            </w:r>
            <w:r>
              <w:rPr>
                <w:rFonts w:hint="eastAsia" w:ascii="仿宋" w:hAnsi="仿宋" w:eastAsia="仿宋" w:cs="仿宋"/>
                <w:color w:val="000000"/>
                <w:kern w:val="0"/>
                <w:sz w:val="18"/>
                <w:szCs w:val="18"/>
                <w:lang w:eastAsia="zh-CN" w:bidi="ar"/>
              </w:rPr>
              <w:t>标准</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本标准将围绕为民服务“精准</w:t>
            </w: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bidi="ar"/>
              </w:rPr>
              <w:t>精致</w:t>
            </w: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bidi="ar"/>
              </w:rPr>
              <w:t>精细”</w:t>
            </w:r>
            <w:r>
              <w:rPr>
                <w:rFonts w:hint="eastAsia" w:ascii="仿宋" w:hAnsi="仿宋" w:eastAsia="仿宋" w:cs="仿宋"/>
                <w:color w:val="000000"/>
                <w:kern w:val="0"/>
                <w:sz w:val="18"/>
                <w:szCs w:val="18"/>
                <w:lang w:eastAsia="zh-CN" w:bidi="ar"/>
              </w:rPr>
              <w:t>的</w:t>
            </w:r>
            <w:r>
              <w:rPr>
                <w:rFonts w:hint="eastAsia" w:ascii="仿宋" w:hAnsi="仿宋" w:eastAsia="仿宋" w:cs="仿宋"/>
                <w:color w:val="000000"/>
                <w:kern w:val="0"/>
                <w:sz w:val="18"/>
                <w:szCs w:val="18"/>
                <w:lang w:bidi="ar"/>
              </w:rPr>
              <w:t>目标，规定公众服务评价的总体要求、评价内容、评价方法、指标体系、数据采集方法等。</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bl>
    <w:p>
      <w:pPr>
        <w:widowControl/>
        <w:jc w:val="left"/>
      </w:pPr>
    </w:p>
    <w:sectPr>
      <w:footerReference r:id="rId3" w:type="default"/>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2NGZiNmYzZDJiN2ZiYjc5Yzk4NjdjZTZmMmFkMDUifQ=="/>
  </w:docVars>
  <w:rsids>
    <w:rsidRoot w:val="E7FF0DA8"/>
    <w:rsid w:val="0003338E"/>
    <w:rsid w:val="004C015A"/>
    <w:rsid w:val="005100F9"/>
    <w:rsid w:val="007E5E15"/>
    <w:rsid w:val="00BF1210"/>
    <w:rsid w:val="00D51697"/>
    <w:rsid w:val="01A41533"/>
    <w:rsid w:val="05802F9C"/>
    <w:rsid w:val="08926813"/>
    <w:rsid w:val="0C28640C"/>
    <w:rsid w:val="154047C7"/>
    <w:rsid w:val="19651C09"/>
    <w:rsid w:val="19B7BFC6"/>
    <w:rsid w:val="1AF3AFEC"/>
    <w:rsid w:val="1CB72565"/>
    <w:rsid w:val="1D8D7234"/>
    <w:rsid w:val="1E7B061E"/>
    <w:rsid w:val="1F55561B"/>
    <w:rsid w:val="1FCB2D00"/>
    <w:rsid w:val="20E67E5C"/>
    <w:rsid w:val="26957197"/>
    <w:rsid w:val="2D1D183F"/>
    <w:rsid w:val="30BC2A9D"/>
    <w:rsid w:val="32BA7696"/>
    <w:rsid w:val="3E5E8453"/>
    <w:rsid w:val="3F6216D4"/>
    <w:rsid w:val="3FAE66D8"/>
    <w:rsid w:val="3FEFAC50"/>
    <w:rsid w:val="3FFD9277"/>
    <w:rsid w:val="3FFE5073"/>
    <w:rsid w:val="3FFF809A"/>
    <w:rsid w:val="42291FBB"/>
    <w:rsid w:val="488D1F5E"/>
    <w:rsid w:val="49FB500C"/>
    <w:rsid w:val="4A037596"/>
    <w:rsid w:val="4BF98D11"/>
    <w:rsid w:val="4E7EE6B2"/>
    <w:rsid w:val="4F5B577E"/>
    <w:rsid w:val="50777DE3"/>
    <w:rsid w:val="51981913"/>
    <w:rsid w:val="537C1232"/>
    <w:rsid w:val="57F25FE9"/>
    <w:rsid w:val="58793605"/>
    <w:rsid w:val="5B070A63"/>
    <w:rsid w:val="5BD1934E"/>
    <w:rsid w:val="5BFFA170"/>
    <w:rsid w:val="5EA32904"/>
    <w:rsid w:val="5FFEE8E2"/>
    <w:rsid w:val="5FFF97E9"/>
    <w:rsid w:val="6FF73AE0"/>
    <w:rsid w:val="6FF7C549"/>
    <w:rsid w:val="6FF91384"/>
    <w:rsid w:val="773B623C"/>
    <w:rsid w:val="77F929D1"/>
    <w:rsid w:val="77FD14F5"/>
    <w:rsid w:val="7A67879E"/>
    <w:rsid w:val="7AFCC506"/>
    <w:rsid w:val="7B7276D8"/>
    <w:rsid w:val="7BF702E4"/>
    <w:rsid w:val="7DBFE90A"/>
    <w:rsid w:val="7DCD2B46"/>
    <w:rsid w:val="7E1FE37D"/>
    <w:rsid w:val="7EF7D91D"/>
    <w:rsid w:val="7F093C5A"/>
    <w:rsid w:val="7F177865"/>
    <w:rsid w:val="7F5678FA"/>
    <w:rsid w:val="7FB056EB"/>
    <w:rsid w:val="7FB7E384"/>
    <w:rsid w:val="7FC63993"/>
    <w:rsid w:val="7FF7412F"/>
    <w:rsid w:val="7FFB1748"/>
    <w:rsid w:val="9C69880B"/>
    <w:rsid w:val="AEF50C54"/>
    <w:rsid w:val="AF3D119E"/>
    <w:rsid w:val="B7BD4CE6"/>
    <w:rsid w:val="B7EF9FA6"/>
    <w:rsid w:val="B8FF59BE"/>
    <w:rsid w:val="BBDD11BE"/>
    <w:rsid w:val="BFFEA44C"/>
    <w:rsid w:val="C5AF6A22"/>
    <w:rsid w:val="CF3D3115"/>
    <w:rsid w:val="CFCF6D1F"/>
    <w:rsid w:val="CFF6C1D6"/>
    <w:rsid w:val="D8FF4971"/>
    <w:rsid w:val="DA7F03DB"/>
    <w:rsid w:val="DE3CC96B"/>
    <w:rsid w:val="DED67A59"/>
    <w:rsid w:val="DF7590D9"/>
    <w:rsid w:val="E31ED279"/>
    <w:rsid w:val="E3DD609C"/>
    <w:rsid w:val="E7F4C345"/>
    <w:rsid w:val="E7FF0DA8"/>
    <w:rsid w:val="EF6E3F09"/>
    <w:rsid w:val="EFF9150F"/>
    <w:rsid w:val="F36CB564"/>
    <w:rsid w:val="F7D8EE28"/>
    <w:rsid w:val="F9DE17EA"/>
    <w:rsid w:val="FB7742F0"/>
    <w:rsid w:val="FBF71542"/>
    <w:rsid w:val="FBFDB57A"/>
    <w:rsid w:val="FC17A5F6"/>
    <w:rsid w:val="FCDDF017"/>
    <w:rsid w:val="FD7FCEE0"/>
    <w:rsid w:val="FDBF68E5"/>
    <w:rsid w:val="FDFF975E"/>
    <w:rsid w:val="FEAA3E1A"/>
    <w:rsid w:val="FEEF1AC6"/>
    <w:rsid w:val="FF4BB647"/>
    <w:rsid w:val="FF76CEB6"/>
    <w:rsid w:val="FF7E1639"/>
    <w:rsid w:val="FFAA480C"/>
    <w:rsid w:val="FFEED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240" w:lineRule="auto"/>
      <w:ind w:firstLine="720" w:firstLineChars="200"/>
      <w:outlineLvl w:val="0"/>
    </w:pPr>
    <w:rPr>
      <w:rFonts w:eastAsia="黑体"/>
      <w:kern w:val="44"/>
      <w:sz w:val="32"/>
    </w:rPr>
  </w:style>
  <w:style w:type="paragraph" w:styleId="5">
    <w:name w:val="heading 2"/>
    <w:basedOn w:val="1"/>
    <w:next w:val="1"/>
    <w:qFormat/>
    <w:uiPriority w:val="0"/>
    <w:pPr>
      <w:keepNext/>
      <w:keepLines/>
      <w:spacing w:beforeLines="0" w:beforeAutospacing="0" w:afterLines="0" w:afterAutospacing="0" w:line="240" w:lineRule="auto"/>
      <w:ind w:firstLine="720" w:firstLineChars="200"/>
      <w:outlineLvl w:val="1"/>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ind w:firstLine="420"/>
    </w:pPr>
    <w:rPr>
      <w:rFonts w:ascii="Calibri" w:hAnsi="Calibri"/>
    </w:rPr>
  </w:style>
  <w:style w:type="paragraph" w:styleId="3">
    <w:name w:val="Body Text Indent"/>
    <w:basedOn w:val="1"/>
    <w:next w:val="2"/>
    <w:qFormat/>
    <w:uiPriority w:val="99"/>
    <w:pPr>
      <w:spacing w:after="120"/>
      <w:ind w:left="420" w:leftChars="200"/>
    </w:pPr>
  </w:style>
  <w:style w:type="paragraph" w:styleId="6">
    <w:name w:val="caption"/>
    <w:basedOn w:val="1"/>
    <w:next w:val="1"/>
    <w:semiHidden/>
    <w:unhideWhenUsed/>
    <w:qFormat/>
    <w:uiPriority w:val="0"/>
    <w:rPr>
      <w:rFonts w:ascii="Arial" w:hAnsi="Arial" w:eastAsia="黑体"/>
      <w:sz w:val="20"/>
    </w:rPr>
  </w:style>
  <w:style w:type="paragraph" w:styleId="7">
    <w:name w:val="annotation text"/>
    <w:basedOn w:val="1"/>
    <w:qFormat/>
    <w:uiPriority w:val="0"/>
    <w:pPr>
      <w:jc w:val="left"/>
    </w:p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41"/>
    <w:basedOn w:val="13"/>
    <w:qFormat/>
    <w:uiPriority w:val="0"/>
    <w:rPr>
      <w:rFonts w:hint="eastAsia" w:ascii="微软雅黑" w:hAnsi="微软雅黑" w:eastAsia="微软雅黑" w:cs="微软雅黑"/>
      <w:color w:val="000000"/>
      <w:sz w:val="22"/>
      <w:szCs w:val="22"/>
      <w:u w:val="none"/>
    </w:rPr>
  </w:style>
  <w:style w:type="character" w:customStyle="1" w:styleId="15">
    <w:name w:val="font21"/>
    <w:basedOn w:val="13"/>
    <w:qFormat/>
    <w:uiPriority w:val="0"/>
    <w:rPr>
      <w:rFonts w:hint="eastAsia" w:ascii="微软雅黑" w:hAnsi="微软雅黑" w:eastAsia="微软雅黑" w:cs="微软雅黑"/>
      <w:color w:val="C00000"/>
      <w:sz w:val="22"/>
      <w:szCs w:val="22"/>
      <w:u w:val="none"/>
    </w:rPr>
  </w:style>
  <w:style w:type="character" w:customStyle="1" w:styleId="16">
    <w:name w:val="font61"/>
    <w:basedOn w:val="13"/>
    <w:qFormat/>
    <w:uiPriority w:val="0"/>
    <w:rPr>
      <w:rFonts w:hint="eastAsia" w:ascii="微软雅黑" w:hAnsi="微软雅黑" w:eastAsia="微软雅黑" w:cs="微软雅黑"/>
      <w:color w:val="000000"/>
      <w:sz w:val="22"/>
      <w:szCs w:val="22"/>
      <w:u w:val="none"/>
    </w:rPr>
  </w:style>
  <w:style w:type="character" w:customStyle="1" w:styleId="17">
    <w:name w:val="font51"/>
    <w:basedOn w:val="13"/>
    <w:qFormat/>
    <w:uiPriority w:val="0"/>
    <w:rPr>
      <w:rFonts w:hint="eastAsia" w:ascii="微软雅黑" w:hAnsi="微软雅黑" w:eastAsia="微软雅黑" w:cs="微软雅黑"/>
      <w:color w:val="000000"/>
      <w:sz w:val="22"/>
      <w:szCs w:val="22"/>
      <w:u w:val="none"/>
    </w:rPr>
  </w:style>
  <w:style w:type="character" w:customStyle="1" w:styleId="18">
    <w:name w:val="批注框文本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1009</Words>
  <Characters>5753</Characters>
  <Lines>47</Lines>
  <Paragraphs>13</Paragraphs>
  <TotalTime>10</TotalTime>
  <ScaleCrop>false</ScaleCrop>
  <LinksUpToDate>false</LinksUpToDate>
  <CharactersWithSpaces>6749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2023-09-06T18:08:00Z</dcterms:created>
  <dc:creator>Jason Wu</dc:creator>
  <cp:lastModifiedBy>LX</cp:lastModifiedBy>
  <cp:lastPrinted>2024-01-10T11:52:00Z</cp:lastPrinted>
  <dcterms:modified xsi:type="dcterms:W3CDTF">2024-03-06T03:11:10Z</dcterms:modified>
  <dc:title>城市运行管理服务平台标准体系</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6575FD0EE5B449CBA2BF036D93D0E3A4_13</vt:lpwstr>
  </property>
</Properties>
</file>